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Heading"/>
        <w:spacing w:after="60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14:textFill>
            <w14:solidFill>
              <w14:srgbClr w14:val="1A365D"/>
            </w14:solidFill>
          </w14:textFill>
        </w:rPr>
        <w:t xml:space="preserve">AYANTRA </w:t>
      </w:r>
    </w:p>
    <w:p>
      <w:pPr>
        <w:pStyle w:val="Heading 2"/>
        <w:spacing w:before="0"/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</w:pPr>
      <w:r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  <w:drawing xmlns:a="http://schemas.openxmlformats.org/drawingml/2006/main">
          <wp:anchor distT="0" distB="0" distL="0" distR="0" simplePos="0" relativeHeight="251656192" behindDoc="1" locked="0" layoutInCell="1" allowOverlap="1">
            <wp:simplePos x="0" y="0"/>
            <wp:positionH relativeFrom="column">
              <wp:posOffset>0</wp:posOffset>
            </wp:positionH>
            <wp:positionV relativeFrom="line">
              <wp:posOffset>428625</wp:posOffset>
            </wp:positionV>
            <wp:extent cx="5943600" cy="5943600"/>
            <wp:effectExtent l="0" t="0" r="0" b="0"/>
            <wp:wrapNone/>
            <wp:docPr id="1073741826" name="officeArt object" descr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2.png" descr="image2.png"/>
                    <pic:cNvPicPr>
                      <a:picLocks noChangeAspect="1"/>
                    </pic:cNvPicPr>
                  </pic:nvPicPr>
                  <pic:blipFill>
                    <a:blip r:embed="rId4">
                      <a:alphaModFix amt="10000"/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Official Commercial Pricing &amp; Service Engagement Framewor</w:t>
      </w:r>
      <w:r>
        <w:rPr>
          <w:rtl w:val="0"/>
        </w:rPr>
        <w:t>k</w:t>
      </w:r>
    </w:p>
    <w:p>
      <w:pPr>
        <w:pStyle w:val="Heading"/>
        <w:spacing w:after="60"/>
      </w:pPr>
      <w:bookmarkStart w:name="_jlafmf2tyc4" w:id="0"/>
      <w:bookmarkEnd w:id="0"/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outline w:val="0"/>
          <w:color w:val="1a365d"/>
          <w:sz w:val="22"/>
          <w:szCs w:val="22"/>
          <w:u w:color="1a365d"/>
          <w:rtl w:val="0"/>
          <w14:textFill>
            <w14:solidFill>
              <w14:srgbClr w14:val="1A365D"/>
            </w14:solidFill>
          </w14:textFill>
        </w:rPr>
        <w:t>�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outline w:val="0"/>
          <w:color w:val="1a365d"/>
          <w:sz w:val="22"/>
          <w:szCs w:val="22"/>
          <w:u w:color="1a365d"/>
          <w:rtl w:val="0"/>
          <w14:textFill>
            <w14:solidFill>
              <w14:srgbClr w14:val="1A365D"/>
            </w14:solidFill>
          </w14:textFill>
        </w:rPr>
        <w:t>�</w:t>
      </w:r>
      <w:r>
        <w:rPr>
          <w:outline w:val="0"/>
          <w:color w:val="1a365d"/>
          <w:sz w:val="22"/>
          <w:szCs w:val="22"/>
          <w:u w:color="1a365d"/>
          <w:rtl w:val="0"/>
          <w14:textFill>
            <w14:solidFill>
              <w14:srgbClr w14:val="1A365D"/>
            </w14:solidFill>
          </w14:textFill>
        </w:rPr>
        <w:t xml:space="preserve">-  9049013716 | 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outline w:val="0"/>
          <w:color w:val="1a365d"/>
          <w:sz w:val="22"/>
          <w:szCs w:val="22"/>
          <w:u w:color="1a365d"/>
          <w:rtl w:val="0"/>
          <w14:textFill>
            <w14:solidFill>
              <w14:srgbClr w14:val="1A365D"/>
            </w14:solidFill>
          </w14:textFill>
        </w:rPr>
        <w:t>💌</w:t>
      </w:r>
      <w:r>
        <w:rPr>
          <w:outline w:val="0"/>
          <w:color w:val="1a365d"/>
          <w:sz w:val="22"/>
          <w:szCs w:val="22"/>
          <w:u w:color="1a365d"/>
          <w:rtl w:val="0"/>
          <w14:textFill>
            <w14:solidFill>
              <w14:srgbClr w14:val="1A365D"/>
            </w14:solidFill>
          </w14:textFill>
        </w:rPr>
        <w:t>-  dev.77anuj77@gmail.com</w:t>
      </w:r>
    </w:p>
    <w:p>
      <w:pPr>
        <w:pStyle w:val="Body"/>
        <w:spacing w:line="300" w:lineRule="auto"/>
        <w:rPr>
          <w:outline w:val="0"/>
          <w:color w:val="4a5568"/>
          <w:sz w:val="20"/>
          <w:szCs w:val="20"/>
          <w:u w:color="4a5568"/>
          <w14:textFill>
            <w14:solidFill>
              <w14:srgbClr w14:val="4A5568"/>
            </w14:solidFill>
          </w14:textFill>
        </w:rPr>
      </w:pPr>
      <w:r>
        <w:rPr>
          <w:b w:val="1"/>
          <w:bCs w:val="1"/>
          <w:outline w:val="0"/>
          <w:color w:val="4a5568"/>
          <w:sz w:val="20"/>
          <w:szCs w:val="20"/>
          <w:u w:color="4a5568"/>
          <w:rtl w:val="0"/>
          <w:lang w:val="en-US"/>
          <w14:textFill>
            <w14:solidFill>
              <w14:srgbClr w14:val="4A5568"/>
            </w14:solidFill>
          </w14:textFill>
        </w:rPr>
        <w:t>Document Reference:</w:t>
      </w:r>
      <w:r>
        <w:rPr>
          <w:outline w:val="0"/>
          <w:color w:val="4a5568"/>
          <w:sz w:val="20"/>
          <w:szCs w:val="20"/>
          <w:u w:color="4a5568"/>
          <w:rtl w:val="0"/>
          <w14:textFill>
            <w14:solidFill>
              <w14:srgbClr w14:val="4A5568"/>
            </w14:solidFill>
          </w14:textFill>
        </w:rPr>
        <w:t xml:space="preserve"> AY-COM-2026-V1 </w:t>
      </w:r>
      <w:r>
        <w:rPr>
          <w:outline w:val="0"/>
          <w:color w:val="4a5568"/>
          <w:sz w:val="20"/>
          <w:szCs w:val="20"/>
          <w:u w:color="4a5568"/>
          <w:rtl w:val="0"/>
          <w14:textFill>
            <w14:solidFill>
              <w14:srgbClr w14:val="4A5568"/>
            </w14:solidFill>
          </w14:textFill>
        </w:rPr>
        <w:t> </w:t>
      </w:r>
      <w:r>
        <w:rPr>
          <w:outline w:val="0"/>
          <w:color w:val="4a5568"/>
          <w:sz w:val="20"/>
          <w:szCs w:val="20"/>
          <w:u w:color="4a5568"/>
          <w:rtl w:val="0"/>
          <w14:textFill>
            <w14:solidFill>
              <w14:srgbClr w14:val="4A5568"/>
            </w14:solidFill>
          </w14:textFill>
        </w:rPr>
        <w:t>|</w:t>
      </w:r>
      <w:r>
        <w:rPr>
          <w:outline w:val="0"/>
          <w:color w:val="4a5568"/>
          <w:sz w:val="20"/>
          <w:szCs w:val="20"/>
          <w:u w:color="4a5568"/>
          <w:rtl w:val="0"/>
          <w14:textFill>
            <w14:solidFill>
              <w14:srgbClr w14:val="4A5568"/>
            </w14:solidFill>
          </w14:textFill>
        </w:rPr>
        <w:t xml:space="preserve">  </w:t>
      </w:r>
      <w:r>
        <w:rPr>
          <w:b w:val="1"/>
          <w:bCs w:val="1"/>
          <w:outline w:val="0"/>
          <w:color w:val="4a5568"/>
          <w:sz w:val="20"/>
          <w:szCs w:val="20"/>
          <w:u w:color="4a5568"/>
          <w:rtl w:val="0"/>
          <w:lang w:val="en-US"/>
          <w14:textFill>
            <w14:solidFill>
              <w14:srgbClr w14:val="4A5568"/>
            </w14:solidFill>
          </w14:textFill>
        </w:rPr>
        <w:t>Effective Date:</w:t>
      </w:r>
      <w:r>
        <w:rPr>
          <w:outline w:val="0"/>
          <w:color w:val="4a5568"/>
          <w:sz w:val="20"/>
          <w:szCs w:val="20"/>
          <w:u w:color="4a5568"/>
          <w:rtl w:val="0"/>
          <w14:textFill>
            <w14:solidFill>
              <w14:srgbClr w14:val="4A5568"/>
            </w14:solidFill>
          </w14:textFill>
        </w:rPr>
        <w:t xml:space="preserve"> August 2026</w:t>
      </w:r>
    </w:p>
    <w:p>
      <w:pPr>
        <w:pStyle w:val="Body"/>
        <w:spacing w:after="225"/>
        <w:rPr>
          <w:outline w:val="0"/>
          <w:color w:val="4a5568"/>
          <w:sz w:val="20"/>
          <w:szCs w:val="20"/>
          <w:u w:color="4a5568"/>
          <w14:textFill>
            <w14:solidFill>
              <w14:srgbClr w14:val="4A5568"/>
            </w14:solidFill>
          </w14:textFill>
        </w:rPr>
      </w:pPr>
    </w:p>
    <w:p>
      <w:pPr>
        <w:pStyle w:val="Heading 2"/>
        <w:spacing w:after="315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:lang w:val="en-US"/>
          <w14:textFill>
            <w14:solidFill>
              <w14:srgbClr w14:val="1A365D"/>
            </w14:solidFill>
          </w14:textFill>
        </w:rPr>
        <w:t>1. Executive Summary &amp; Value Philosophy</w:t>
      </w:r>
    </w:p>
    <w:p>
      <w:pPr>
        <w:pStyle w:val="Body"/>
        <w:spacing w:line="300" w:lineRule="auto"/>
        <w:ind w:left="600" w:firstLine="0"/>
      </w:pPr>
      <w:r>
        <mc:AlternateContent>
          <mc:Choice Requires="wps">
            <w:drawing xmlns:a="http://schemas.openxmlformats.org/drawingml/2006/main">
              <wp:inline distT="0" distB="0" distL="0" distR="0">
                <wp:extent cx="5562473" cy="17829"/>
                <wp:effectExtent l="0" t="0" r="0" b="0"/>
                <wp:docPr id="1073741827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473" cy="17829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6" style="visibility:visible;width:438.0pt;height:1.4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>
      <w:pPr>
        <w:pStyle w:val="Body"/>
        <w:numPr>
          <w:ilvl w:val="0"/>
          <w:numId w:val="2"/>
        </w:numPr>
        <w:bidi w:val="0"/>
        <w:spacing w:line="300" w:lineRule="auto"/>
        <w:ind w:right="0"/>
        <w:jc w:val="left"/>
        <w:rPr>
          <w:sz w:val="20"/>
          <w:szCs w:val="20"/>
          <w:rtl w:val="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Outcome-Centric Approach: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Ayantra focuses on creating high-converting, professional digital assets tailored to enhance brand authority and acquire customers.</w:t>
      </w:r>
    </w:p>
    <w:p>
      <w:pPr>
        <w:pStyle w:val="Body"/>
        <w:numPr>
          <w:ilvl w:val="0"/>
          <w:numId w:val="2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Predictable Project Budgeting: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Fixed packages ensure total transparency, eliminating hourly ambiguity while maintaining standard engineering quality.</w:t>
      </w:r>
    </w:p>
    <w:p>
      <w:pPr>
        <w:pStyle w:val="Body"/>
        <w:spacing w:after="225"/>
        <w:rPr>
          <w:outline w:val="0"/>
          <w:color w:val="2d3748"/>
          <w:sz w:val="20"/>
          <w:szCs w:val="20"/>
          <w:u w:color="2d3748"/>
          <w14:textFill>
            <w14:solidFill>
              <w14:srgbClr w14:val="2D3748"/>
            </w14:solidFill>
          </w14:textFill>
        </w:rPr>
      </w:pPr>
    </w:p>
    <w:p>
      <w:pPr>
        <w:pStyle w:val="Heading 2"/>
        <w:spacing w:after="330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:lang w:val="en-US"/>
          <w14:textFill>
            <w14:solidFill>
              <w14:srgbClr w14:val="1A365D"/>
            </w14:solidFill>
          </w14:textFill>
        </w:rPr>
        <w:t>2. Core Service Packages</w:t>
      </w:r>
    </w:p>
    <w:p>
      <w:pPr>
        <w:pStyle w:val="Heading 3"/>
        <w:spacing w:before="0" w:after="90"/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</w:pPr>
      <w:r>
        <mc:AlternateContent>
          <mc:Choice Requires="wps">
            <w:drawing xmlns:a="http://schemas.openxmlformats.org/drawingml/2006/main">
              <wp:inline distT="0" distB="0" distL="0" distR="0">
                <wp:extent cx="5943600" cy="19050"/>
                <wp:effectExtent l="0" t="0" r="0" b="0"/>
                <wp:docPr id="1073741828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1905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7" style="visibility:visible;width:468.0pt;height:1.5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  <w:r>
        <w:rPr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Ayantra Starter (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₹</w:t>
      </w:r>
      <w:r>
        <w:rPr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7,500)</w:t>
      </w:r>
    </w:p>
    <w:p>
      <w:pPr>
        <w:pStyle w:val="Body"/>
        <w:numPr>
          <w:ilvl w:val="0"/>
          <w:numId w:val="4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Intended Audience: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Solo entrepreneurs, freelancers, and small local businesses requiring an immediate digital footprint.</w:t>
      </w:r>
    </w:p>
    <w:p>
      <w:pPr>
        <w:pStyle w:val="Body"/>
        <w:numPr>
          <w:ilvl w:val="0"/>
          <w:numId w:val="4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Deliverables: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Single-page responsive landing page (mobile/desktop), contact &amp; WhatsApp call-to-action (CTA), subtle UI animations, foundational on-page SEO, standard deployment.</w:t>
      </w:r>
    </w:p>
    <w:p>
      <w:pPr>
        <w:pStyle w:val="Body"/>
        <w:numPr>
          <w:ilvl w:val="0"/>
          <w:numId w:val="4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Revision Scope: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1 round of design and content adjustments.</w:t>
      </w:r>
    </w:p>
    <w:p>
      <w:pPr>
        <w:pStyle w:val="Heading 3"/>
        <w:spacing w:after="90"/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</w:pP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Ayantra Growth (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₹</w:t>
      </w: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15,000)</w:t>
      </w:r>
    </w:p>
    <w:p>
      <w:pPr>
        <w:pStyle w:val="Body"/>
        <w:numPr>
          <w:ilvl w:val="0"/>
          <w:numId w:val="6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Intended Audience: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Growing businesses and startups focused on direct lead generation and campaign traffic.</w:t>
      </w:r>
    </w:p>
    <w:p>
      <w:pPr>
        <w:pStyle w:val="Body"/>
        <w:numPr>
          <w:ilvl w:val="0"/>
          <w:numId w:val="6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Deliverables: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Bespoke UI/UX design, mobile-first responsive development, smooth animations, lead capture form, direct WhatsApp integration, basic SEO structuring, Google Analytics integration, production deployment.</w:t>
      </w:r>
    </w:p>
    <w:p>
      <w:pPr>
        <w:pStyle w:val="Body"/>
        <w:numPr>
          <w:ilvl w:val="0"/>
          <w:numId w:val="6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Revision Scope: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2 to 3 rounds of design and content adjustments.</w:t>
      </w:r>
    </w:p>
    <w:p>
      <w:pPr>
        <w:pStyle w:val="Heading 3"/>
        <w:spacing w:after="90"/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</w:pPr>
      <w:r>
        <w:rPr>
          <w:outline w:val="0"/>
          <w:color w:val="2b6cb0"/>
          <w:u w:color="2b6cb0"/>
          <w:rtl w:val="0"/>
          <w:lang w:val="es-ES_tradnl"/>
          <w14:textFill>
            <w14:solidFill>
              <w14:srgbClr w14:val="2B6CB0"/>
            </w14:solidFill>
          </w14:textFill>
        </w:rPr>
        <w:t>Ayantra Pro (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₹</w:t>
      </w: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 xml:space="preserve">25,000 </w:t>
      </w:r>
      <w:r>
        <w:rPr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 xml:space="preserve">– 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₹</w:t>
      </w: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35,000+)</w:t>
      </w:r>
    </w:p>
    <w:p>
      <w:pPr>
        <w:pStyle w:val="Body"/>
        <w:numPr>
          <w:ilvl w:val="0"/>
          <w:numId w:val="8"/>
        </w:numPr>
        <w:spacing w:line="300" w:lineRule="auto"/>
      </w:pPr>
      <w:r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  <w:drawing xmlns:a="http://schemas.openxmlformats.org/drawingml/2006/main">
          <wp:anchor distT="0" distB="0" distL="0" distR="0" simplePos="0" relativeHeight="251657216" behindDoc="1" locked="0" layoutInCell="1" allowOverlap="1">
            <wp:simplePos x="0" y="0"/>
            <wp:positionH relativeFrom="column">
              <wp:posOffset>-76199</wp:posOffset>
            </wp:positionH>
            <wp:positionV relativeFrom="line">
              <wp:posOffset>495300</wp:posOffset>
            </wp:positionV>
            <wp:extent cx="5943600" cy="5943600"/>
            <wp:effectExtent l="0" t="0" r="0" b="0"/>
            <wp:wrapNone/>
            <wp:docPr id="1073741829" name="officeArt object" descr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2.png" descr="image2.png"/>
                    <pic:cNvPicPr>
                      <a:picLocks noChangeAspect="1"/>
                    </pic:cNvPicPr>
                  </pic:nvPicPr>
                  <pic:blipFill>
                    <a:blip r:embed="rId4">
                      <a:alphaModFix amt="10000"/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Intended Audience: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Established brands and high-growth startups requiring comprehensive, multi-section digital platforms</w:t>
      </w:r>
      <w:r>
        <w:rPr>
          <w:rtl w:val="0"/>
        </w:rPr>
        <w:t>.</w:t>
      </w:r>
    </w:p>
    <w:p>
      <w:pPr>
        <w:pStyle w:val="Body"/>
        <w:numPr>
          <w:ilvl w:val="0"/>
          <w:numId w:val="9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Deliverables: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Multi-page architecture, custom animations and interactions, optional dynamic CMS/blog setup, API forms and third-party integrations, search engine optimization, analytics dashboard integration, core web vitals optimization, production deployment.</w:t>
      </w:r>
    </w:p>
    <w:p>
      <w:pPr>
        <w:pStyle w:val="Body"/>
        <w:numPr>
          <w:ilvl w:val="0"/>
          <w:numId w:val="9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Revision Scope: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3 structured rounds of adjustments.</w:t>
      </w:r>
    </w:p>
    <w:p>
      <w:pPr>
        <w:pStyle w:val="Body"/>
        <w:spacing w:after="225"/>
        <w:rPr>
          <w:outline w:val="0"/>
          <w:color w:val="2d3748"/>
          <w:sz w:val="20"/>
          <w:szCs w:val="20"/>
          <w:u w:color="2d3748"/>
          <w14:textFill>
            <w14:solidFill>
              <w14:srgbClr w14:val="2D3748"/>
            </w14:solidFill>
          </w14:textFill>
        </w:rPr>
      </w:pPr>
    </w:p>
    <w:p>
      <w:pPr>
        <w:pStyle w:val="Heading 2"/>
        <w:spacing w:after="315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:lang w:val="en-US"/>
          <w14:textFill>
            <w14:solidFill>
              <w14:srgbClr w14:val="1A365D"/>
            </w14:solidFill>
          </w14:textFill>
        </w:rPr>
        <w:t>3. Extended Web Solutions Rate Card</w:t>
      </w:r>
    </w:p>
    <w:p>
      <w:pPr>
        <w:pStyle w:val="Body"/>
        <w:spacing w:line="276" w:lineRule="auto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mc:AlternateContent>
          <mc:Choice Requires="wps">
            <w:drawing xmlns:a="http://schemas.openxmlformats.org/drawingml/2006/main">
              <wp:inline distT="0" distB="0" distL="0" distR="0">
                <wp:extent cx="5943600" cy="19050"/>
                <wp:effectExtent l="0" t="0" r="0" b="0"/>
                <wp:docPr id="1073741830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1905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8" style="visibility:visible;width:468.0pt;height:1.5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tbl>
      <w:tblPr>
        <w:tblW w:w="9360" w:type="dxa"/>
        <w:jc w:val="left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ced7e7"/>
        <w:tblLayout w:type="fixed"/>
      </w:tblPr>
      <w:tblGrid>
        <w:gridCol w:w="2340"/>
        <w:gridCol w:w="2340"/>
        <w:gridCol w:w="2340"/>
        <w:gridCol w:w="2340"/>
      </w:tblGrid>
      <w:tr>
        <w:tblPrEx>
          <w:shd w:val="clear" w:color="auto" w:fill="4f81bd"/>
        </w:tblPrEx>
        <w:trPr>
          <w:trHeight w:val="608" w:hRule="atLeast"/>
          <w:tblHeader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7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outline w:val="0"/>
                <w:color w:val="1a202c"/>
                <w:sz w:val="18"/>
                <w:szCs w:val="18"/>
                <w:u w:color="1a202c"/>
                <w:shd w:val="nil" w:color="auto" w:fill="auto"/>
                <w:rtl w:val="0"/>
                <w:lang w:val="en-US"/>
                <w14:textFill>
                  <w14:solidFill>
                    <w14:srgbClr w14:val="1A202C"/>
                  </w14:solidFill>
                </w14:textFill>
              </w:rPr>
              <w:t>Package Name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7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outline w:val="0"/>
                <w:color w:val="1a202c"/>
                <w:sz w:val="18"/>
                <w:szCs w:val="18"/>
                <w:u w:color="1a202c"/>
                <w:shd w:val="nil" w:color="auto" w:fill="auto"/>
                <w:rtl w:val="0"/>
                <w:lang w:val="en-US"/>
                <w14:textFill>
                  <w14:solidFill>
                    <w14:srgbClr w14:val="1A202C"/>
                  </w14:solidFill>
                </w14:textFill>
              </w:rPr>
              <w:t>Target Client Profile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7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outline w:val="0"/>
                <w:color w:val="1a202c"/>
                <w:sz w:val="18"/>
                <w:szCs w:val="18"/>
                <w:u w:color="1a202c"/>
                <w:shd w:val="nil" w:color="auto" w:fill="auto"/>
                <w:rtl w:val="0"/>
                <w:lang w:val="en-US"/>
                <w14:textFill>
                  <w14:solidFill>
                    <w14:srgbClr w14:val="1A202C"/>
                  </w14:solidFill>
                </w14:textFill>
              </w:rPr>
              <w:t>Core Inclusions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7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  <w:rPr>
                <w:b w:val="1"/>
                <w:bCs w:val="1"/>
                <w:outline w:val="0"/>
                <w:color w:val="1a202c"/>
                <w:sz w:val="18"/>
                <w:szCs w:val="18"/>
                <w:u w:color="1a202c"/>
                <w:shd w:val="nil" w:color="auto" w:fill="auto"/>
                <w14:textFill>
                  <w14:solidFill>
                    <w14:srgbClr w14:val="1A202C"/>
                  </w14:solidFill>
                </w14:textFill>
              </w:rPr>
            </w:pPr>
            <w:r>
              <w:rPr>
                <w:b w:val="1"/>
                <w:bCs w:val="1"/>
                <w:outline w:val="0"/>
                <w:color w:val="1a202c"/>
                <w:sz w:val="18"/>
                <w:szCs w:val="18"/>
                <w:u w:color="1a202c"/>
                <w:shd w:val="nil" w:color="auto" w:fill="auto"/>
                <w:rtl w:val="0"/>
                <w:lang w:val="en-US"/>
                <w14:textFill>
                  <w14:solidFill>
                    <w14:srgbClr w14:val="1A202C"/>
                  </w14:solidFill>
                </w14:textFill>
              </w:rPr>
              <w:t>Investment Range</w:t>
            </w:r>
          </w:p>
          <w:p>
            <w:pPr>
              <w:pStyle w:val="Body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sz w:val="18"/>
                <w:szCs w:val="18"/>
                <w:shd w:val="nil" w:color="auto" w:fill="auto"/>
                <w:rtl w:val="0"/>
              </w:rPr>
              <w:t xml:space="preserve"> </w:t>
            </w:r>
          </w:p>
        </w:tc>
      </w:tr>
      <w:tr>
        <w:tblPrEx>
          <w:shd w:val="clear" w:color="auto" w:fill="ced7e7"/>
        </w:tblPrEx>
        <w:trPr>
          <w:trHeight w:val="706" w:hRule="atLeast"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sz w:val="18"/>
                <w:szCs w:val="18"/>
                <w:shd w:val="nil" w:color="auto" w:fill="auto"/>
                <w:rtl w:val="0"/>
                <w:lang w:val="en-US"/>
              </w:rPr>
              <w:t>Starter Landing Page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Individuals &amp; Small Businesses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1-page responsive layout, basic animations, CTA setup.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7,500 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– </w:t>
            </w: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>9,999</w:t>
            </w:r>
          </w:p>
        </w:tc>
      </w:tr>
      <w:tr>
        <w:tblPrEx>
          <w:shd w:val="clear" w:color="auto" w:fill="ced7e7"/>
        </w:tblPrEx>
        <w:trPr>
          <w:trHeight w:val="706" w:hRule="atLeast"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sz w:val="18"/>
                <w:szCs w:val="18"/>
                <w:shd w:val="nil" w:color="auto" w:fill="auto"/>
                <w:rtl w:val="0"/>
                <w:lang w:val="en-US"/>
              </w:rPr>
              <w:t>Business Landing Page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Startups &amp; Local Businesses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Premium custom UI, contact form, WhatsApp setup, basic SEO.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12,500 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– </w:t>
            </w: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>16,999</w:t>
            </w:r>
          </w:p>
        </w:tc>
      </w:tr>
      <w:tr>
        <w:tblPrEx>
          <w:shd w:val="clear" w:color="auto" w:fill="ced7e7"/>
        </w:tblPrEx>
        <w:trPr>
          <w:trHeight w:val="706" w:hRule="atLeast"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sz w:val="18"/>
                <w:szCs w:val="18"/>
                <w:shd w:val="nil" w:color="auto" w:fill="auto"/>
                <w:rtl w:val="0"/>
                <w:lang w:val="de-DE"/>
              </w:rPr>
              <w:t>Premium Landing Page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Brands &amp; Funded Startups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Custom design, advanced animations, third-party integrations, GA4.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18,500 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– </w:t>
            </w: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>29,999</w:t>
            </w:r>
          </w:p>
        </w:tc>
      </w:tr>
      <w:tr>
        <w:tblPrEx>
          <w:shd w:val="clear" w:color="auto" w:fill="ced7e7"/>
        </w:tblPrEx>
        <w:trPr>
          <w:trHeight w:val="706" w:hRule="atLeast"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sz w:val="18"/>
                <w:szCs w:val="18"/>
                <w:shd w:val="nil" w:color="auto" w:fill="auto"/>
                <w:rtl w:val="0"/>
                <w:lang w:val="en-US"/>
              </w:rPr>
              <w:t>Business Website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SMEs &amp; Corporate Entities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</w:rPr>
              <w:t>4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>–</w:t>
            </w: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7 custom pages, responsive build, lead forms, SEO, deployment.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25,500 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– </w:t>
            </w: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>44,999</w:t>
            </w:r>
          </w:p>
        </w:tc>
      </w:tr>
      <w:tr>
        <w:tblPrEx>
          <w:shd w:val="clear" w:color="auto" w:fill="ced7e7"/>
        </w:tblPrEx>
        <w:trPr>
          <w:trHeight w:val="706" w:hRule="atLeast"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sz w:val="18"/>
                <w:szCs w:val="18"/>
                <w:shd w:val="nil" w:color="auto" w:fill="auto"/>
                <w:rtl w:val="0"/>
              </w:rPr>
              <w:t>Premium Business Site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Established Enterprises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Custom UI/UX, CMS architecture, integrations, performance tuning.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49,500 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 xml:space="preserve">– </w:t>
            </w: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</w:rPr>
              <w:t>81,999+</w:t>
            </w:r>
          </w:p>
        </w:tc>
      </w:tr>
      <w:tr>
        <w:tblPrEx>
          <w:shd w:val="clear" w:color="auto" w:fill="ced7e7"/>
        </w:tblPrEx>
        <w:trPr>
          <w:trHeight w:val="706" w:hRule="atLeast"/>
        </w:trPr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b w:val="1"/>
                <w:bCs w:val="1"/>
                <w:sz w:val="18"/>
                <w:szCs w:val="18"/>
                <w:shd w:val="nil" w:color="auto" w:fill="auto"/>
                <w:rtl w:val="0"/>
                <w:lang w:val="en-US"/>
              </w:rPr>
              <w:t>Custom Web Application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Tech Startups &amp; Platforms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Auth modules, dynamic dashboard, databases, custom REST APIs.</w:t>
            </w:r>
          </w:p>
        </w:tc>
        <w:tc>
          <w:tcPr>
            <w:tcW w:type="dxa" w:w="2340"/>
            <w:tcBorders>
              <w:top w:val="single" w:color="cbd5e0" w:sz="6" w:space="0" w:shadow="0" w:frame="0"/>
              <w:left w:val="single" w:color="cbd5e0" w:sz="6" w:space="0" w:shadow="0" w:frame="0"/>
              <w:bottom w:val="single" w:color="cbd5e0" w:sz="6" w:space="0" w:shadow="0" w:frame="0"/>
              <w:right w:val="single" w:color="cbd5e0" w:sz="6" w:space="0" w:shadow="0" w:frame="0"/>
            </w:tcBorders>
            <w:shd w:val="clear" w:color="auto" w:fill="f8fafc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Body"/>
              <w:spacing w:before="150" w:after="150" w:line="300" w:lineRule="auto"/>
            </w:pPr>
            <w:r>
              <w:rPr>
                <w:rFonts w:ascii="Arial Unicode MS" w:cs="Arial Unicode MS" w:hAnsi="Arial Unicode MS" w:eastAsia="Arial Unicode MS" w:hint="default"/>
                <w:b w:val="0"/>
                <w:bCs w:val="0"/>
                <w:i w:val="0"/>
                <w:iCs w:val="0"/>
                <w:sz w:val="18"/>
                <w:szCs w:val="18"/>
                <w:shd w:val="nil" w:color="auto" w:fill="auto"/>
                <w:rtl w:val="0"/>
              </w:rPr>
              <w:t>₹</w:t>
            </w: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75,000+</w:t>
            </w:r>
          </w:p>
        </w:tc>
      </w:tr>
    </w:tbl>
    <w:p>
      <w:pPr>
        <w:pStyle w:val="Body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</w:p>
    <w:p>
      <w:pPr>
        <w:pStyle w:val="Body"/>
        <w:spacing w:before="150" w:after="225"/>
        <w:rPr>
          <w:sz w:val="18"/>
          <w:szCs w:val="18"/>
          <w:shd w:val="nil" w:color="auto" w:fill="auto"/>
        </w:rPr>
      </w:pPr>
    </w:p>
    <w:p>
      <w:pPr>
        <w:pStyle w:val="Heading 2"/>
        <w:spacing w:after="315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:lang w:val="en-US"/>
          <w14:textFill>
            <w14:solidFill>
              <w14:srgbClr w14:val="1A365D"/>
            </w14:solidFill>
          </w14:textFill>
        </w:rPr>
        <w:t>4. Direct vs. Third-Party Cost Demarcation</w:t>
      </w:r>
    </w:p>
    <w:p>
      <w:pPr>
        <w:pStyle w:val="Body"/>
        <w:spacing w:line="300" w:lineRule="auto"/>
        <w:ind w:left="600" w:firstLine="0"/>
        <w:rPr>
          <w:b w:val="1"/>
          <w:bCs w:val="1"/>
        </w:rPr>
      </w:pPr>
      <w:r>
        <mc:AlternateContent>
          <mc:Choice Requires="wps">
            <w:drawing xmlns:a="http://schemas.openxmlformats.org/drawingml/2006/main">
              <wp:inline distT="0" distB="0" distL="0" distR="0">
                <wp:extent cx="5562473" cy="17829"/>
                <wp:effectExtent l="0" t="0" r="0" b="0"/>
                <wp:docPr id="1073741831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473" cy="17829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9" style="visibility:visible;width:438.0pt;height:1.4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>
      <w:pPr>
        <w:pStyle w:val="Body"/>
        <w:numPr>
          <w:ilvl w:val="0"/>
          <w:numId w:val="11"/>
        </w:numPr>
        <w:bidi w:val="0"/>
        <w:spacing w:line="300" w:lineRule="auto"/>
        <w:ind w:right="0"/>
        <w:jc w:val="left"/>
        <w:rPr>
          <w:outline w:val="0"/>
          <w:color w:val="2d3748"/>
          <w:sz w:val="20"/>
          <w:szCs w:val="20"/>
          <w:rtl w:val="0"/>
          <w:lang w:val="en-US"/>
          <w14:textFill>
            <w14:solidFill>
              <w14:srgbClr w14:val="2D3748"/>
            </w14:solidFill>
          </w14:textFill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Ayantra Development Fee: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Covers all design, coding, asset structuring, and initial deployment implementation</w:t>
      </w:r>
      <w:r>
        <w:rPr>
          <w:outline w:val="0"/>
          <w:color w:val="000000"/>
          <w:sz w:val="22"/>
          <w:szCs w:val="22"/>
          <w:rtl w:val="0"/>
          <w14:textFill>
            <w14:solidFill>
              <w14:srgbClr w14:val="000000"/>
            </w14:solidFill>
          </w14:textFill>
        </w:rPr>
        <w:t>.</w:t>
      </w:r>
    </w:p>
    <w:p>
      <w:pPr>
        <w:pStyle w:val="Body"/>
        <w:numPr>
          <w:ilvl w:val="0"/>
          <w:numId w:val="11"/>
        </w:numPr>
        <w:spacing w:line="300" w:lineRule="auto"/>
        <w:rPr>
          <w:sz w:val="20"/>
          <w:szCs w:val="20"/>
          <w:lang w:val="de-DE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de-DE"/>
          <w14:textFill>
            <w14:solidFill>
              <w14:srgbClr w14:val="2D3748"/>
            </w14:solidFill>
          </w14:textFill>
        </w:rPr>
        <w:t>Domain Name Registration: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Direct client expense paid annually via the domain registrar (e.g., GoDaddy, Namecheap).</w:t>
      </w:r>
    </w:p>
    <w:p>
      <w:pPr>
        <w:pStyle w:val="Body"/>
        <w:numPr>
          <w:ilvl w:val="0"/>
          <w:numId w:val="11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Hosting &amp; Cloud Infrastructure: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Direct client expense billed monthly or annually by the cloud provider (e.g., Vercel, AWS, Hostinger).</w:t>
      </w:r>
    </w:p>
    <w:p>
      <w:pPr>
        <w:pStyle w:val="Body"/>
        <w:numPr>
          <w:ilvl w:val="0"/>
          <w:numId w:val="11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Third-Party Service Subscriptions: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API credits, email services, SMS gateways, and CRM licenses are paid directly to the respective providers.</w:t>
      </w:r>
    </w:p>
    <w:p>
      <w:pPr>
        <w:pStyle w:val="Body"/>
        <w:numPr>
          <w:ilvl w:val="0"/>
          <w:numId w:val="11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Post-Launch Maintenance (Optional):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Retainer-based maintenance, regular updates, and bug fixes available at 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d3748"/>
          <w:sz w:val="20"/>
          <w:szCs w:val="20"/>
          <w:u w:color="2d3748"/>
          <w:rtl w:val="0"/>
          <w14:textFill>
            <w14:solidFill>
              <w14:srgbClr w14:val="2D3748"/>
            </w14:solidFill>
          </w14:textFill>
        </w:rPr>
        <w:t>₹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2,000 per month.</w:t>
      </w:r>
    </w:p>
    <w:p>
      <w:pPr>
        <w:pStyle w:val="Body"/>
        <w:spacing w:after="225"/>
        <w:rPr>
          <w:outline w:val="0"/>
          <w:color w:val="2d3748"/>
          <w:sz w:val="20"/>
          <w:szCs w:val="20"/>
          <w:u w:color="2d3748"/>
          <w14:textFill>
            <w14:solidFill>
              <w14:srgbClr w14:val="2D3748"/>
            </w14:solidFill>
          </w14:textFill>
        </w:rPr>
      </w:pPr>
    </w:p>
    <w:p>
      <w:pPr>
        <w:pStyle w:val="Heading 2"/>
        <w:spacing w:after="315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:lang w:val="en-US"/>
          <w14:textFill>
            <w14:solidFill>
              <w14:srgbClr w14:val="1A365D"/>
            </w14:solidFill>
          </w14:textFill>
        </w:rPr>
        <w:t>5. Revision Policy &amp; Scope Definitions</w:t>
      </w:r>
    </w:p>
    <w:p>
      <w:pPr>
        <w:pStyle w:val="Body"/>
        <w:spacing w:line="300" w:lineRule="auto"/>
        <w:ind w:left="600" w:firstLine="0"/>
      </w:pPr>
      <w:r>
        <mc:AlternateContent>
          <mc:Choice Requires="wps">
            <w:drawing xmlns:a="http://schemas.openxmlformats.org/drawingml/2006/main">
              <wp:inline distT="0" distB="0" distL="0" distR="0">
                <wp:extent cx="5562473" cy="17829"/>
                <wp:effectExtent l="0" t="0" r="0" b="0"/>
                <wp:docPr id="1073741832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473" cy="17829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30" style="visibility:visible;width:438.0pt;height:1.4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>
      <w:pPr>
        <w:pStyle w:val="Body"/>
        <w:numPr>
          <w:ilvl w:val="0"/>
          <w:numId w:val="13"/>
        </w:numPr>
        <w:bidi w:val="0"/>
        <w:spacing w:line="300" w:lineRule="auto"/>
        <w:ind w:right="0"/>
        <w:jc w:val="left"/>
        <w:rPr>
          <w:sz w:val="20"/>
          <w:szCs w:val="20"/>
          <w:rtl w:val="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Definition of a Revision: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Modifications to existing copy, visual layouts, colors, fonts, or component placements within the agreed scope.</w:t>
      </w:r>
    </w:p>
    <w:p>
      <w:pPr>
        <w:pStyle w:val="Body"/>
        <w:numPr>
          <w:ilvl w:val="0"/>
          <w:numId w:val="13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Definition of a New Requirement: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Additions of new pages, features, workflows, or integrations not specified in the original agreement.</w:t>
      </w:r>
    </w:p>
    <w:p>
      <w:pPr>
        <w:pStyle w:val="Body"/>
        <w:numPr>
          <w:ilvl w:val="0"/>
          <w:numId w:val="13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Out-of-Scope Billing: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Additional revision cycles or scope additions are billed at an hourly rate of 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d3748"/>
          <w:sz w:val="20"/>
          <w:szCs w:val="20"/>
          <w:u w:color="2d3748"/>
          <w:rtl w:val="0"/>
          <w14:textFill>
            <w14:solidFill>
              <w14:srgbClr w14:val="2D3748"/>
            </w14:solidFill>
          </w14:textFill>
        </w:rPr>
        <w:t>₹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1,000 per hour or quoted as a separate add-on module.</w:t>
      </w:r>
    </w:p>
    <w:p>
      <w:pPr>
        <w:pStyle w:val="Body"/>
        <w:spacing w:after="225"/>
        <w:rPr>
          <w:outline w:val="0"/>
          <w:color w:val="2d3748"/>
          <w:sz w:val="20"/>
          <w:szCs w:val="20"/>
          <w:u w:color="2d3748"/>
          <w14:textFill>
            <w14:solidFill>
              <w14:srgbClr w14:val="2D3748"/>
            </w14:solidFill>
          </w14:textFill>
        </w:rPr>
      </w:pPr>
    </w:p>
    <w:p>
      <w:pPr>
        <w:pStyle w:val="Heading 2"/>
        <w:spacing w:after="330"/>
        <w:rPr>
          <w:outline w:val="0"/>
          <w:color w:val="1a365d"/>
          <w:u w:color="1a365d"/>
          <w14:textFill>
            <w14:solidFill>
              <w14:srgbClr w14:val="1A365D"/>
            </w14:solidFill>
          </w14:textFill>
        </w:rPr>
      </w:pPr>
      <w:r>
        <w:rPr>
          <w:outline w:val="0"/>
          <w:color w:val="1a365d"/>
          <w:u w:color="1a365d"/>
          <w:rtl w:val="0"/>
          <w:lang w:val="en-US"/>
          <w14:textFill>
            <w14:solidFill>
              <w14:srgbClr w14:val="1A365D"/>
            </w14:solidFill>
          </w14:textFill>
        </w:rPr>
        <w:t>6. Commercial Terms &amp; Payment Milestones</w:t>
      </w:r>
    </w:p>
    <w:p>
      <w:pPr>
        <w:pStyle w:val="Body"/>
        <w:spacing w:line="300" w:lineRule="auto"/>
        <w:ind w:left="600" w:firstLine="0"/>
      </w:pPr>
      <w:r>
        <mc:AlternateContent>
          <mc:Choice Requires="wps">
            <w:drawing xmlns:a="http://schemas.openxmlformats.org/drawingml/2006/main">
              <wp:inline distT="0" distB="0" distL="0" distR="0">
                <wp:extent cx="5562473" cy="17829"/>
                <wp:effectExtent l="0" t="0" r="0" b="0"/>
                <wp:docPr id="1073741833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473" cy="17829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31" style="visibility:visible;width:438.0pt;height:1.4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>
      <w:pPr>
        <w:pStyle w:val="Heading 3"/>
        <w:spacing w:before="0" w:after="90"/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</w:pP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 xml:space="preserve">Standard Projects (&lt; 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₹</w:t>
      </w:r>
      <w:r>
        <w:rPr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25,000)</w:t>
      </w:r>
    </w:p>
    <w:p>
      <w:pPr>
        <w:pStyle w:val="Body"/>
        <w:numPr>
          <w:ilvl w:val="0"/>
          <w:numId w:val="15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50%</w:t>
      </w: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Advance: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Due upon project kickoff and requirement confirmation.</w:t>
      </w:r>
    </w:p>
    <w:p>
      <w:pPr>
        <w:pStyle w:val="Body"/>
        <w:numPr>
          <w:ilvl w:val="0"/>
          <w:numId w:val="15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50% </w:t>
      </w: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Final Payment: 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Prior to live domain launch and repository handover.</w:t>
      </w:r>
    </w:p>
    <w:p>
      <w:pPr>
        <w:pStyle w:val="Heading 3"/>
        <w:spacing w:after="90"/>
        <w:rPr>
          <w:outline w:val="0"/>
          <w:color w:val="2b6cb0"/>
          <w:u w:color="2b6cb0"/>
          <w14:textFill>
            <w14:solidFill>
              <w14:srgbClr w14:val="2B6CB0"/>
            </w14:solidFill>
          </w14:textFill>
        </w:rPr>
      </w:pPr>
      <w:r>
        <w:rPr>
          <w:rFonts w:ascii="Arial Unicode MS" w:hAnsi="Arial Unicode MS"/>
          <w:b w:val="0"/>
          <w:bCs w:val="0"/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Enterprise / Multi-Phase Projects (</w:t>
      </w:r>
      <w:r>
        <w:rPr>
          <w:rFonts w:ascii="Arial Unicode MS" w:hAnsi="Arial Unicode MS" w:hint="default"/>
          <w:b w:val="0"/>
          <w:b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 xml:space="preserve">≥ </w:t>
      </w:r>
      <w:r>
        <w:rPr>
          <w:rFonts w:ascii="Arial Unicode MS" w:cs="Arial Unicode MS" w:hAnsi="Arial Unicode MS" w:eastAsia="Arial Unicode MS" w:hint="default"/>
          <w:b w:val="0"/>
          <w:bCs w:val="0"/>
          <w:i w:val="0"/>
          <w:iCs w:val="0"/>
          <w:outline w:val="0"/>
          <w:color w:val="2b6cb0"/>
          <w:u w:color="2b6cb0"/>
          <w:rtl w:val="0"/>
          <w14:textFill>
            <w14:solidFill>
              <w14:srgbClr w14:val="2B6CB0"/>
            </w14:solidFill>
          </w14:textFill>
        </w:rPr>
        <w:t>₹</w:t>
      </w:r>
      <w:r>
        <w:rPr>
          <w:rFonts w:ascii="Arial Unicode MS" w:hAnsi="Arial Unicode MS"/>
          <w:b w:val="0"/>
          <w:bCs w:val="0"/>
          <w:outline w:val="0"/>
          <w:color w:val="2b6cb0"/>
          <w:u w:color="2b6cb0"/>
          <w:rtl w:val="0"/>
          <w:lang w:val="en-US"/>
          <w14:textFill>
            <w14:solidFill>
              <w14:srgbClr w14:val="2B6CB0"/>
            </w14:solidFill>
          </w14:textFill>
        </w:rPr>
        <w:t>25,000)</w:t>
      </w:r>
    </w:p>
    <w:p>
      <w:pPr>
        <w:pStyle w:val="Body"/>
        <w:numPr>
          <w:ilvl w:val="0"/>
          <w:numId w:val="17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40% Advance: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Project initiation and UI/UX phase.</w:t>
      </w:r>
    </w:p>
    <w:p>
      <w:pPr>
        <w:pStyle w:val="Body"/>
        <w:numPr>
          <w:ilvl w:val="0"/>
          <w:numId w:val="17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30% Milestone Payment: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Functional staging review.</w:t>
      </w:r>
    </w:p>
    <w:p>
      <w:pPr>
        <w:pStyle w:val="Body"/>
        <w:numPr>
          <w:ilvl w:val="0"/>
          <w:numId w:val="17"/>
        </w:numPr>
        <w:spacing w:line="300" w:lineRule="auto"/>
        <w:rPr>
          <w:sz w:val="20"/>
          <w:szCs w:val="20"/>
          <w:lang w:val="en-US"/>
        </w:rPr>
      </w:pPr>
      <w:r>
        <w:rPr>
          <w:b w:val="1"/>
          <w:bCs w:val="1"/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>30% Final Payment:</w:t>
      </w:r>
      <w:r>
        <w:rPr>
          <w:outline w:val="0"/>
          <w:color w:val="2d3748"/>
          <w:sz w:val="20"/>
          <w:szCs w:val="20"/>
          <w:u w:color="2d3748"/>
          <w:rtl w:val="0"/>
          <w:lang w:val="en-US"/>
          <w14:textFill>
            <w14:solidFill>
              <w14:srgbClr w14:val="2D3748"/>
            </w14:solidFill>
          </w14:textFill>
        </w:rPr>
        <w:t xml:space="preserve"> Final deployment, testing sign-off, and asset transfer.</w:t>
      </w:r>
    </w:p>
    <w:sectPr>
      <w:headerReference w:type="default" r:id="rId5"/>
      <w:footerReference w:type="default" r:id="rId6"/>
      <w:pgSz w:w="12240" w:h="15840" w:orient="portrait"/>
      <w:pgMar w:top="1440" w:right="1440" w:bottom="1440" w:left="1440" w:header="0" w:footer="720"/>
      <w:pgNumType w:start="1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mbria Bold">
    <w:charset w:val="00"/>
    <w:family w:val="roman"/>
    <w:pitch w:val="default"/>
  </w:font>
  <w:font w:name="Cambri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ing"/>
      <w:spacing w:after="60"/>
      <w:jc w:val="center"/>
    </w:pPr>
    <w:r>
      <w:rPr>
        <w:outline w:val="0"/>
        <w:color w:val="1a365d"/>
        <w:u w:color="1a365d"/>
        <w:rtl w:val="0"/>
        <w14:textFill>
          <w14:solidFill>
            <w14:srgbClr w14:val="1A365D"/>
          </w14:solidFill>
        </w14:textFill>
      </w:rPr>
      <w:t xml:space="preserve"> </w:t>
    </w:r>
    <w:r>
      <w:rPr>
        <w:outline w:val="0"/>
        <w:color w:val="1a365d"/>
        <w:u w:color="1a365d"/>
        <w14:textFill>
          <w14:solidFill>
            <w14:srgbClr w14:val="1A365D"/>
          </w14:solidFill>
        </w14:textFill>
      </w:rPr>
      <w:drawing xmlns:a="http://schemas.openxmlformats.org/drawingml/2006/main">
        <wp:inline distT="0" distB="0" distL="0" distR="0">
          <wp:extent cx="501927" cy="481013"/>
          <wp:effectExtent l="0" t="0" r="0" b="0"/>
          <wp:docPr id="1073741825" name="officeArt object" descr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image1.png" descr="image1.png"/>
                  <pic:cNvPicPr>
                    <a:picLocks noChangeAspect="1"/>
                  </pic:cNvPicPr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1927" cy="481013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  <w:r>
      <w:rPr>
        <w:outline w:val="0"/>
        <w:color w:val="1a365d"/>
        <w:sz w:val="22"/>
        <w:szCs w:val="22"/>
        <w:u w:color="1a365d"/>
        <w14:textFill>
          <w14:solidFill>
            <w14:srgbClr w14:val="1A365D"/>
          </w14:solidFill>
        </w14:textFill>
      </w:rPr>
    </w:r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Imported Style 1"/>
  </w:abstractNum>
  <w:abstractNum w:abstractNumId="1">
    <w:multiLevelType w:val="hybridMultilevel"/>
    <w:styleLink w:val="Imported Style 1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2">
    <w:multiLevelType w:val="hybridMultilevel"/>
    <w:numStyleLink w:val="Imported Style 2"/>
  </w:abstractNum>
  <w:abstractNum w:abstractNumId="3">
    <w:multiLevelType w:val="hybridMultilevel"/>
    <w:styleLink w:val="Imported Style 2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4">
    <w:multiLevelType w:val="hybridMultilevel"/>
    <w:numStyleLink w:val="Imported Style 3"/>
  </w:abstractNum>
  <w:abstractNum w:abstractNumId="5">
    <w:multiLevelType w:val="hybridMultilevel"/>
    <w:styleLink w:val="Imported Style 3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6">
    <w:multiLevelType w:val="hybridMultilevel"/>
    <w:numStyleLink w:val="Imported Style 4"/>
  </w:abstractNum>
  <w:abstractNum w:abstractNumId="7">
    <w:multiLevelType w:val="hybridMultilevel"/>
    <w:styleLink w:val="Imported Style 4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</w:abstractNum>
  <w:abstractNum w:abstractNumId="8">
    <w:multiLevelType w:val="hybridMultilevel"/>
    <w:numStyleLink w:val="Imported Style 5"/>
  </w:abstractNum>
  <w:abstractNum w:abstractNumId="9">
    <w:multiLevelType w:val="hybridMultilevel"/>
    <w:styleLink w:val="Imported Style 5"/>
    <w:lvl w:ilvl="0">
      <w:start w:val="1"/>
      <w:numFmt w:val="bullet"/>
      <w:suff w:val="tab"/>
      <w:lvlText w:val="●"/>
      <w:lvlJc w:val="left"/>
      <w:pPr>
        <w:ind w:left="60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4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6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88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0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2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4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6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480" w:hanging="360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0">
    <w:multiLevelType w:val="hybridMultilevel"/>
    <w:numStyleLink w:val="Imported Style 6"/>
  </w:abstractNum>
  <w:abstractNum w:abstractNumId="11">
    <w:multiLevelType w:val="hybridMultilevel"/>
    <w:styleLink w:val="Imported Style 6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2">
    <w:multiLevelType w:val="hybridMultilevel"/>
    <w:numStyleLink w:val="Imported Style 7"/>
  </w:abstractNum>
  <w:abstractNum w:abstractNumId="13">
    <w:multiLevelType w:val="hybridMultilevel"/>
    <w:styleLink w:val="Imported Style 7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4">
    <w:multiLevelType w:val="hybridMultilevel"/>
    <w:numStyleLink w:val="Imported Style 8"/>
  </w:abstractNum>
  <w:abstractNum w:abstractNumId="15">
    <w:multiLevelType w:val="hybridMultilevel"/>
    <w:styleLink w:val="Imported Style 8"/>
    <w:lvl w:ilvl="0">
      <w:start w:val="1"/>
      <w:numFmt w:val="bullet"/>
      <w:suff w:val="tab"/>
      <w:lvlText w:val="●"/>
      <w:lvlJc w:val="left"/>
      <w:pPr>
        <w:ind w:left="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>
      <w:start w:val="1"/>
      <w:numFmt w:val="bullet"/>
      <w:suff w:val="tab"/>
      <w:lvlText w:val="○"/>
      <w:lvlJc w:val="left"/>
      <w:pPr>
        <w:ind w:left="14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>
      <w:start w:val="1"/>
      <w:numFmt w:val="bullet"/>
      <w:suff w:val="tab"/>
      <w:lvlText w:val="■"/>
      <w:lvlJc w:val="left"/>
      <w:pPr>
        <w:ind w:left="21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>
      <w:start w:val="1"/>
      <w:numFmt w:val="bullet"/>
      <w:suff w:val="tab"/>
      <w:lvlText w:val="■"/>
      <w:lvlJc w:val="left"/>
      <w:pPr>
        <w:ind w:left="29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>
      <w:start w:val="1"/>
      <w:numFmt w:val="bullet"/>
      <w:suff w:val="tab"/>
      <w:lvlText w:val="■"/>
      <w:lvlJc w:val="left"/>
      <w:pPr>
        <w:ind w:left="363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>
      <w:start w:val="1"/>
      <w:numFmt w:val="bullet"/>
      <w:suff w:val="tab"/>
      <w:lvlText w:val="■"/>
      <w:lvlJc w:val="left"/>
      <w:pPr>
        <w:ind w:left="435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>
      <w:start w:val="1"/>
      <w:numFmt w:val="bullet"/>
      <w:suff w:val="tab"/>
      <w:lvlText w:val="■"/>
      <w:lvlJc w:val="left"/>
      <w:pPr>
        <w:ind w:left="507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>
      <w:start w:val="1"/>
      <w:numFmt w:val="bullet"/>
      <w:suff w:val="tab"/>
      <w:lvlText w:val="■"/>
      <w:lvlJc w:val="left"/>
      <w:pPr>
        <w:ind w:left="579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>
      <w:start w:val="1"/>
      <w:numFmt w:val="bullet"/>
      <w:suff w:val="tab"/>
      <w:lvlText w:val="■"/>
      <w:lvlJc w:val="left"/>
      <w:pPr>
        <w:ind w:left="6516" w:hanging="396"/>
      </w:pPr>
      <w:rPr>
        <w:rFonts w:ascii="Arial" w:cs="Arial" w:hAnsi="Arial" w:eastAsia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4"/>
  </w:num>
  <w:num w:numId="7">
    <w:abstractNumId w:val="7"/>
  </w:num>
  <w:num w:numId="8">
    <w:abstractNumId w:val="6"/>
  </w:num>
  <w:num w:numId="9">
    <w:abstractNumId w:val="6"/>
    <w:lvlOverride w:ilvl="0">
      <w:lvl w:ilvl="0">
        <w:start w:val="1"/>
        <w:numFmt w:val="bullet"/>
        <w:suff w:val="tab"/>
        <w:lvlText w:val="●"/>
        <w:lvlJc w:val="left"/>
        <w:pPr>
          <w:ind w:left="63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>
        <w:start w:val="1"/>
        <w:numFmt w:val="bullet"/>
        <w:suff w:val="tab"/>
        <w:lvlText w:val="○"/>
        <w:lvlJc w:val="left"/>
        <w:pPr>
          <w:ind w:left="147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2">
      <w:lvl w:ilvl="2">
        <w:start w:val="1"/>
        <w:numFmt w:val="bullet"/>
        <w:suff w:val="tab"/>
        <w:lvlText w:val="■"/>
        <w:lvlJc w:val="left"/>
        <w:pPr>
          <w:ind w:left="219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3">
      <w:lvl w:ilvl="3">
        <w:start w:val="1"/>
        <w:numFmt w:val="bullet"/>
        <w:suff w:val="tab"/>
        <w:lvlText w:val="■"/>
        <w:lvlJc w:val="left"/>
        <w:pPr>
          <w:ind w:left="291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4">
      <w:lvl w:ilvl="4">
        <w:start w:val="1"/>
        <w:numFmt w:val="bullet"/>
        <w:suff w:val="tab"/>
        <w:lvlText w:val="■"/>
        <w:lvlJc w:val="left"/>
        <w:pPr>
          <w:ind w:left="363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5">
      <w:lvl w:ilvl="5">
        <w:start w:val="1"/>
        <w:numFmt w:val="bullet"/>
        <w:suff w:val="tab"/>
        <w:lvlText w:val="■"/>
        <w:lvlJc w:val="left"/>
        <w:pPr>
          <w:ind w:left="435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6">
      <w:lvl w:ilvl="6">
        <w:start w:val="1"/>
        <w:numFmt w:val="bullet"/>
        <w:suff w:val="tab"/>
        <w:lvlText w:val="■"/>
        <w:lvlJc w:val="left"/>
        <w:pPr>
          <w:ind w:left="507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7">
      <w:lvl w:ilvl="7">
        <w:start w:val="1"/>
        <w:numFmt w:val="bullet"/>
        <w:suff w:val="tab"/>
        <w:lvlText w:val="■"/>
        <w:lvlJc w:val="left"/>
        <w:pPr>
          <w:ind w:left="579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8">
      <w:lvl w:ilvl="8">
        <w:start w:val="1"/>
        <w:numFmt w:val="bullet"/>
        <w:suff w:val="tab"/>
        <w:lvlText w:val="■"/>
        <w:lvlJc w:val="left"/>
        <w:pPr>
          <w:ind w:left="6516" w:hanging="396"/>
        </w:pPr>
        <w:rPr>
          <w:rFonts w:ascii="Arial" w:cs="Arial" w:hAnsi="Arial" w:eastAsia="Aria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</w:num>
  <w:num w:numId="10">
    <w:abstractNumId w:val="9"/>
  </w:num>
  <w:num w:numId="11">
    <w:abstractNumId w:val="8"/>
  </w:num>
  <w:num w:numId="12">
    <w:abstractNumId w:val="11"/>
  </w:num>
  <w:num w:numId="13">
    <w:abstractNumId w:val="10"/>
  </w:num>
  <w:num w:numId="14">
    <w:abstractNumId w:val="13"/>
  </w:num>
  <w:num w:numId="15">
    <w:abstractNumId w:val="12"/>
  </w:num>
  <w:num w:numId="16">
    <w:abstractNumId w:val="15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ing">
    <w:name w:val="Heading"/>
    <w:next w:val="Body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240" w:after="240" w:line="240" w:lineRule="auto"/>
      <w:ind w:left="0" w:right="0" w:firstLine="0"/>
      <w:jc w:val="left"/>
      <w:outlineLvl w:val="0"/>
    </w:pPr>
    <w:rPr>
      <w:rFonts w:ascii="Arial" w:cs="Arial Unicode MS" w:hAnsi="Arial" w:eastAsia="Arial Unicode MS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48"/>
      <w:szCs w:val="48"/>
      <w:u w:val="none" w:color="000000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Body">
    <w:name w:val="Body"/>
    <w:next w:val="Body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Helvetica Neue" w:hAnsi="Helvetica Neue" w:eastAsia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Heading 2">
    <w:name w:val="Heading 2"/>
    <w:next w:val="Body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225" w:after="225" w:line="240" w:lineRule="auto"/>
      <w:ind w:left="0" w:right="0" w:firstLine="0"/>
      <w:jc w:val="left"/>
      <w:outlineLvl w:val="1"/>
    </w:pPr>
    <w:rPr>
      <w:rFonts w:ascii="Arial" w:cs="Arial" w:hAnsi="Arial" w:eastAsia="Arial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36"/>
      <w:szCs w:val="36"/>
      <w:u w:val="none" w:color="000000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numbering" w:styleId="Imported Style 1">
    <w:name w:val="Imported Style 1"/>
    <w:pPr>
      <w:numPr>
        <w:numId w:val="1"/>
      </w:numPr>
    </w:pPr>
  </w:style>
  <w:style w:type="paragraph" w:styleId="Heading 3">
    <w:name w:val="Heading 3"/>
    <w:next w:val="Body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240" w:after="240" w:line="240" w:lineRule="auto"/>
      <w:ind w:left="0" w:right="0" w:firstLine="0"/>
      <w:jc w:val="left"/>
      <w:outlineLvl w:val="2"/>
    </w:pPr>
    <w:rPr>
      <w:rFonts w:ascii="Arial" w:cs="Arial" w:hAnsi="Arial" w:eastAsia="Arial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8"/>
      <w:szCs w:val="28"/>
      <w:u w:val="none" w:color="000000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numbering" w:styleId="Imported Style 2">
    <w:name w:val="Imported Style 2"/>
    <w:pPr>
      <w:numPr>
        <w:numId w:val="3"/>
      </w:numPr>
    </w:pPr>
  </w:style>
  <w:style w:type="numbering" w:styleId="Imported Style 3">
    <w:name w:val="Imported Style 3"/>
    <w:pPr>
      <w:numPr>
        <w:numId w:val="5"/>
      </w:numPr>
    </w:pPr>
  </w:style>
  <w:style w:type="numbering" w:styleId="Imported Style 4">
    <w:name w:val="Imported Style 4"/>
    <w:pPr>
      <w:numPr>
        <w:numId w:val="7"/>
      </w:numPr>
    </w:pPr>
  </w:style>
  <w:style w:type="numbering" w:styleId="Imported Style 5">
    <w:name w:val="Imported Style 5"/>
    <w:pPr>
      <w:numPr>
        <w:numId w:val="10"/>
      </w:numPr>
    </w:pPr>
  </w:style>
  <w:style w:type="numbering" w:styleId="Imported Style 6">
    <w:name w:val="Imported Style 6"/>
    <w:pPr>
      <w:numPr>
        <w:numId w:val="12"/>
      </w:numPr>
    </w:pPr>
  </w:style>
  <w:style w:type="numbering" w:styleId="Imported Style 7">
    <w:name w:val="Imported Style 7"/>
    <w:pPr>
      <w:numPr>
        <w:numId w:val="14"/>
      </w:numPr>
    </w:pPr>
  </w:style>
  <w:style w:type="numbering" w:styleId="Imported Style 8">
    <w:name w:val="Imported Style 8"/>
    <w:pPr>
      <w:numPr>
        <w:numId w:val="16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numbering" Target="numbering.xml"/><Relationship Id="rId8" Type="http://schemas.openxmlformats.org/officeDocument/2006/relationships/theme" Target="theme/theme1.xml"/></Relationships>
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2.png"/></Relationships>
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0000" dir="540000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0000" dir="540000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